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8611" w:val="left" w:leader="none"/>
        </w:tabs>
        <w:ind w:left="1178"/>
        <w:rPr>
          <w:rFonts w:ascii="Times New Roman"/>
        </w:rPr>
      </w:pPr>
      <w:r>
        <w:rPr>
          <w:rFonts w:ascii="Times New Roman"/>
        </w:rPr>
        <w:pict>
          <v:group style="width:341.15pt;height:109.2pt;mso-position-horizontal-relative:char;mso-position-vertical-relative:line" coordorigin="0,0" coordsize="6823,2184">
            <v:shape style="position:absolute;left:2964;top:563;width:3859;height:1335" type="#_x0000_t75" stroked="false">
              <v:imagedata r:id="rId5" o:title=""/>
            </v:shape>
            <v:shape style="position:absolute;left:0;top:0;width:2907;height:2184" type="#_x0000_t75" stroked="false">
              <v:imagedata r:id="rId6" o:title=""/>
            </v:shape>
          </v:group>
        </w:pict>
      </w:r>
      <w:r>
        <w:rPr>
          <w:rFonts w:ascii="Times New Roman"/>
        </w:rPr>
      </w:r>
      <w:r>
        <w:rPr>
          <w:rFonts w:ascii="Times New Roman"/>
        </w:rPr>
        <w:tab/>
      </w:r>
      <w:r>
        <w:rPr>
          <w:rFonts w:ascii="Times New Roman"/>
          <w:position w:val="48"/>
        </w:rPr>
        <w:drawing>
          <wp:inline distT="0" distB="0" distL="0" distR="0">
            <wp:extent cx="1321062" cy="772668"/>
            <wp:effectExtent l="0" t="0" r="0" b="0"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6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8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pStyle w:val="BodyText"/>
        <w:spacing w:before="93"/>
        <w:ind w:left="7143"/>
        <w:rPr>
          <w:rFonts w:ascii="Arial" w:hAnsi="Arial"/>
        </w:rPr>
      </w:pPr>
      <w:bookmarkStart w:name="Comunicado conjunto reactivación del CC" w:id="1"/>
      <w:bookmarkEnd w:id="1"/>
      <w:r>
        <w:rPr/>
      </w:r>
      <w:r>
        <w:rPr>
          <w:rFonts w:ascii="Arial" w:hAnsi="Arial"/>
        </w:rPr>
        <w:t>Ciudad de México, a 5 de marzo de 2019</w:t>
      </w:r>
    </w:p>
    <w:p>
      <w:pPr>
        <w:pStyle w:val="BodyText"/>
        <w:spacing w:before="3"/>
        <w:rPr>
          <w:rFonts w:ascii="Arial"/>
          <w:sz w:val="24"/>
        </w:rPr>
      </w:pPr>
    </w:p>
    <w:p>
      <w:pPr>
        <w:spacing w:before="0"/>
        <w:ind w:left="1858" w:right="0" w:firstLine="0"/>
        <w:jc w:val="left"/>
        <w:rPr>
          <w:b/>
          <w:sz w:val="22"/>
        </w:rPr>
      </w:pPr>
      <w:r>
        <w:rPr>
          <w:b/>
          <w:sz w:val="22"/>
        </w:rPr>
        <w:t>México reactiva el proceso nacional de la Alianza para el Gobierno Abierto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78" w:lineRule="auto" w:before="0" w:after="0"/>
        <w:ind w:left="2160" w:right="1440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31623">
            <wp:simplePos x="0" y="0"/>
            <wp:positionH relativeFrom="page">
              <wp:posOffset>3303904</wp:posOffset>
            </wp:positionH>
            <wp:positionV relativeFrom="paragraph">
              <wp:posOffset>811564</wp:posOffset>
            </wp:positionV>
            <wp:extent cx="25400" cy="25400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El nuevo gobierno representado por la Secretaría de la Función Pública (Función </w:t>
      </w:r>
      <w:r>
        <w:rPr>
          <w:w w:val="118"/>
          <w:sz w:val="20"/>
        </w:rPr>
        <w:t>P</w:t>
      </w:r>
      <w:r>
        <w:rPr>
          <w:w w:val="105"/>
          <w:sz w:val="20"/>
        </w:rPr>
        <w:t>úb</w:t>
      </w:r>
      <w:r>
        <w:rPr>
          <w:spacing w:val="-2"/>
          <w:w w:val="105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2"/>
          <w:w w:val="97"/>
          <w:sz w:val="20"/>
        </w:rPr>
        <w:t>a</w:t>
      </w:r>
      <w:r>
        <w:rPr>
          <w:spacing w:val="-1"/>
          <w:w w:val="72"/>
          <w:sz w:val="20"/>
        </w:rPr>
        <w:t>)</w:t>
      </w:r>
      <w:r>
        <w:rPr>
          <w:w w:val="58"/>
          <w:sz w:val="20"/>
        </w:rPr>
        <w:t>,</w:t>
      </w:r>
      <w:r>
        <w:rPr>
          <w:spacing w:val="-3"/>
          <w:sz w:val="20"/>
        </w:rPr>
        <w:t> </w:t>
      </w:r>
      <w:r>
        <w:rPr>
          <w:w w:val="99"/>
          <w:sz w:val="20"/>
        </w:rPr>
        <w:t>el</w:t>
      </w:r>
      <w:r>
        <w:rPr>
          <w:spacing w:val="-5"/>
          <w:sz w:val="20"/>
        </w:rPr>
        <w:t> </w:t>
      </w:r>
      <w:r>
        <w:rPr>
          <w:w w:val="92"/>
          <w:sz w:val="20"/>
        </w:rPr>
        <w:t>I</w:t>
      </w:r>
      <w:r>
        <w:rPr>
          <w:spacing w:val="-1"/>
          <w:w w:val="92"/>
          <w:sz w:val="20"/>
        </w:rPr>
        <w:t>n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104"/>
          <w:sz w:val="20"/>
        </w:rPr>
        <w:t>ut</w:t>
      </w:r>
      <w:r>
        <w:rPr>
          <w:w w:val="102"/>
          <w:sz w:val="20"/>
        </w:rPr>
        <w:t>o</w:t>
      </w:r>
      <w:r>
        <w:rPr>
          <w:spacing w:val="-1"/>
          <w:sz w:val="20"/>
        </w:rPr>
        <w:t> </w:t>
      </w:r>
      <w:r>
        <w:rPr>
          <w:spacing w:val="-2"/>
          <w:w w:val="108"/>
          <w:sz w:val="20"/>
        </w:rPr>
        <w:t>N</w:t>
      </w:r>
      <w:r>
        <w:rPr>
          <w:spacing w:val="2"/>
          <w:w w:val="97"/>
          <w:sz w:val="20"/>
        </w:rPr>
        <w:t>a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on</w:t>
      </w:r>
      <w:r>
        <w:rPr>
          <w:spacing w:val="1"/>
          <w:w w:val="102"/>
          <w:sz w:val="20"/>
        </w:rPr>
        <w:t>a</w:t>
      </w:r>
      <w:r>
        <w:rPr>
          <w:w w:val="97"/>
          <w:sz w:val="20"/>
        </w:rPr>
        <w:t>l</w:t>
      </w:r>
      <w:r>
        <w:rPr>
          <w:spacing w:val="-5"/>
          <w:sz w:val="20"/>
        </w:rPr>
        <w:t> </w:t>
      </w:r>
      <w:r>
        <w:rPr>
          <w:spacing w:val="-1"/>
          <w:w w:val="108"/>
          <w:sz w:val="20"/>
        </w:rPr>
        <w:t>d</w:t>
      </w:r>
      <w:r>
        <w:rPr>
          <w:w w:val="100"/>
          <w:sz w:val="20"/>
        </w:rPr>
        <w:t>e</w:t>
      </w:r>
      <w:r>
        <w:rPr>
          <w:spacing w:val="-4"/>
          <w:sz w:val="20"/>
        </w:rPr>
        <w:t> </w:t>
      </w:r>
      <w:r>
        <w:rPr>
          <w:w w:val="9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99"/>
          <w:sz w:val="20"/>
        </w:rPr>
        <w:t>an</w:t>
      </w:r>
      <w:r>
        <w:rPr>
          <w:spacing w:val="2"/>
          <w:w w:val="99"/>
          <w:sz w:val="20"/>
        </w:rPr>
        <w:t>s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a</w:t>
      </w:r>
      <w:r>
        <w:rPr>
          <w:spacing w:val="1"/>
          <w:w w:val="96"/>
          <w:sz w:val="20"/>
        </w:rPr>
        <w:t>r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82"/>
          <w:sz w:val="20"/>
        </w:rPr>
        <w:t>a,</w:t>
      </w:r>
      <w:r>
        <w:rPr>
          <w:spacing w:val="-1"/>
          <w:sz w:val="20"/>
        </w:rPr>
        <w:t> </w:t>
      </w:r>
      <w:r>
        <w:rPr>
          <w:spacing w:val="1"/>
          <w:w w:val="104"/>
          <w:sz w:val="20"/>
        </w:rPr>
        <w:t>A</w:t>
      </w:r>
      <w:r>
        <w:rPr>
          <w:w w:val="107"/>
          <w:sz w:val="20"/>
        </w:rPr>
        <w:t>cc</w:t>
      </w:r>
      <w:r>
        <w:rPr>
          <w:w w:val="97"/>
          <w:sz w:val="20"/>
        </w:rPr>
        <w:t>es</w:t>
      </w:r>
      <w:r>
        <w:rPr>
          <w:w w:val="102"/>
          <w:sz w:val="20"/>
        </w:rPr>
        <w:t>o</w:t>
      </w:r>
      <w:r>
        <w:rPr>
          <w:spacing w:val="-4"/>
          <w:sz w:val="20"/>
        </w:rPr>
        <w:t> </w:t>
      </w:r>
      <w:r>
        <w:rPr>
          <w:w w:val="97"/>
          <w:sz w:val="20"/>
        </w:rPr>
        <w:t>a</w:t>
      </w:r>
      <w:r>
        <w:rPr>
          <w:spacing w:val="-4"/>
          <w:sz w:val="20"/>
        </w:rPr>
        <w:t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4"/>
          <w:sz w:val="20"/>
        </w:rPr>
        <w:t> </w:t>
      </w:r>
      <w:r>
        <w:rPr>
          <w:w w:val="92"/>
          <w:sz w:val="20"/>
        </w:rPr>
        <w:t>I</w:t>
      </w:r>
      <w:r>
        <w:rPr>
          <w:spacing w:val="-1"/>
          <w:w w:val="92"/>
          <w:sz w:val="20"/>
        </w:rPr>
        <w:t>n</w:t>
      </w:r>
      <w:r>
        <w:rPr>
          <w:w w:val="98"/>
          <w:sz w:val="20"/>
        </w:rPr>
        <w:t>fo</w:t>
      </w:r>
      <w:r>
        <w:rPr>
          <w:spacing w:val="-2"/>
          <w:w w:val="98"/>
          <w:sz w:val="20"/>
        </w:rPr>
        <w:t>r</w:t>
      </w:r>
      <w:r>
        <w:rPr>
          <w:w w:val="104"/>
          <w:sz w:val="20"/>
        </w:rPr>
        <w:t>mac</w:t>
      </w:r>
      <w:r>
        <w:rPr>
          <w:spacing w:val="2"/>
          <w:w w:val="104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4"/>
          <w:sz w:val="20"/>
        </w:rPr>
        <w:t> </w:t>
      </w:r>
      <w:r>
        <w:rPr>
          <w:w w:val="91"/>
          <w:sz w:val="20"/>
        </w:rPr>
        <w:t>y</w:t>
      </w:r>
      <w:r>
        <w:rPr>
          <w:spacing w:val="-4"/>
          <w:sz w:val="20"/>
        </w:rPr>
        <w:t> </w:t>
      </w: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ot</w:t>
      </w:r>
      <w:r>
        <w:rPr>
          <w:w w:val="105"/>
          <w:sz w:val="20"/>
        </w:rPr>
        <w:t>ecc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ón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Datos</w:t>
      </w:r>
      <w:r>
        <w:rPr>
          <w:spacing w:val="-11"/>
          <w:sz w:val="20"/>
        </w:rPr>
        <w:t> </w:t>
      </w:r>
      <w:r>
        <w:rPr>
          <w:sz w:val="20"/>
        </w:rPr>
        <w:t>Personales</w:t>
      </w:r>
      <w:r>
        <w:rPr>
          <w:spacing w:val="-11"/>
          <w:sz w:val="20"/>
        </w:rPr>
        <w:t> </w:t>
      </w:r>
      <w:r>
        <w:rPr>
          <w:sz w:val="20"/>
        </w:rPr>
        <w:t>(INAI)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Núcleo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Organizaciones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Sociedad</w:t>
      </w:r>
      <w:r>
        <w:rPr>
          <w:spacing w:val="-12"/>
          <w:sz w:val="20"/>
        </w:rPr>
        <w:t> </w:t>
      </w:r>
      <w:r>
        <w:rPr>
          <w:sz w:val="20"/>
        </w:rPr>
        <w:t>Civil</w:t>
      </w:r>
      <w:r>
        <w:rPr>
          <w:spacing w:val="-12"/>
          <w:sz w:val="20"/>
        </w:rPr>
        <w:t> </w:t>
      </w:r>
      <w:r>
        <w:rPr>
          <w:sz w:val="20"/>
        </w:rPr>
        <w:t>(NOSC), reanudan el proceso nacional de la Alianza para el Gobierno Abierto en México mediante la creación de una nueva figura de coordinación denominada Comité Coordinador.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76" w:lineRule="auto" w:before="0" w:after="0"/>
        <w:ind w:left="2160" w:right="1444" w:hanging="360"/>
        <w:jc w:val="both"/>
        <w:rPr>
          <w:sz w:val="20"/>
        </w:rPr>
      </w:pPr>
      <w:r>
        <w:rPr>
          <w:w w:val="105"/>
          <w:sz w:val="20"/>
        </w:rPr>
        <w:t>El Comité Coordinador acuerda una hoja de ruta para atender la problemática de vigilancia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estatal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ilegal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37"/>
          <w:w w:val="105"/>
          <w:sz w:val="20"/>
        </w:rPr>
        <w:t> </w:t>
      </w:r>
      <w:r>
        <w:rPr>
          <w:w w:val="105"/>
          <w:sz w:val="20"/>
        </w:rPr>
        <w:t>México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35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37"/>
          <w:w w:val="105"/>
          <w:sz w:val="20"/>
        </w:rPr>
        <w:t> </w:t>
      </w:r>
      <w:r>
        <w:rPr>
          <w:w w:val="105"/>
          <w:sz w:val="20"/>
        </w:rPr>
        <w:t>ello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37"/>
          <w:w w:val="105"/>
          <w:sz w:val="20"/>
        </w:rPr>
        <w:t> </w:t>
      </w:r>
      <w:r>
        <w:rPr>
          <w:w w:val="105"/>
          <w:sz w:val="20"/>
        </w:rPr>
        <w:t>primera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acción</w:t>
      </w:r>
      <w:r>
        <w:rPr>
          <w:spacing w:val="-37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37"/>
          <w:w w:val="105"/>
          <w:sz w:val="20"/>
        </w:rPr>
        <w:t> </w:t>
      </w:r>
      <w:r>
        <w:rPr>
          <w:w w:val="105"/>
          <w:sz w:val="20"/>
        </w:rPr>
        <w:t>llevará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37"/>
          <w:w w:val="105"/>
          <w:sz w:val="20"/>
        </w:rPr>
        <w:t> </w:t>
      </w:r>
      <w:r>
        <w:rPr>
          <w:w w:val="105"/>
          <w:sz w:val="20"/>
        </w:rPr>
        <w:t>cabo</w:t>
      </w:r>
      <w:r>
        <w:rPr>
          <w:spacing w:val="-37"/>
          <w:w w:val="105"/>
          <w:sz w:val="20"/>
        </w:rPr>
        <w:t> </w:t>
      </w:r>
      <w:r>
        <w:rPr>
          <w:w w:val="105"/>
          <w:sz w:val="20"/>
        </w:rPr>
        <w:t>un foro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público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31"/>
          <w:w w:val="105"/>
          <w:sz w:val="20"/>
        </w:rPr>
        <w:t> </w:t>
      </w:r>
      <w:r>
        <w:rPr>
          <w:w w:val="105"/>
          <w:sz w:val="20"/>
        </w:rPr>
        <w:t>26</w:t>
      </w:r>
      <w:r>
        <w:rPr>
          <w:spacing w:val="-3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marzo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31"/>
          <w:w w:val="105"/>
          <w:sz w:val="20"/>
        </w:rPr>
        <w:t> </w:t>
      </w:r>
      <w:r>
        <w:rPr>
          <w:w w:val="105"/>
          <w:sz w:val="20"/>
        </w:rPr>
        <w:t>dar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inicio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construcción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implementación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1"/>
          <w:w w:val="105"/>
          <w:sz w:val="20"/>
        </w:rPr>
        <w:t> </w:t>
      </w:r>
      <w:r>
        <w:rPr>
          <w:w w:val="105"/>
          <w:sz w:val="20"/>
        </w:rPr>
        <w:t>una política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pública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evitar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otro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episodio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3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4"/>
          <w:w w:val="105"/>
          <w:sz w:val="20"/>
        </w:rPr>
        <w:t> </w:t>
      </w:r>
      <w:r>
        <w:rPr>
          <w:w w:val="105"/>
          <w:sz w:val="20"/>
        </w:rPr>
        <w:t>Pegasus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vuelva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33"/>
          <w:w w:val="105"/>
          <w:sz w:val="20"/>
        </w:rPr>
        <w:t> </w:t>
      </w:r>
      <w:r>
        <w:rPr>
          <w:w w:val="105"/>
          <w:sz w:val="20"/>
        </w:rPr>
        <w:t>ocurrir.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76" w:lineRule="auto" w:before="0" w:after="0"/>
        <w:ind w:left="2160" w:right="1448" w:hanging="360"/>
        <w:jc w:val="both"/>
        <w:rPr>
          <w:sz w:val="20"/>
        </w:rPr>
      </w:pPr>
      <w:r>
        <w:rPr>
          <w:sz w:val="20"/>
        </w:rPr>
        <w:t>Se establecen las condiciones para iniciar la construcción colaborativa del Cuarto</w:t>
      </w:r>
      <w:r>
        <w:rPr>
          <w:spacing w:val="-40"/>
          <w:sz w:val="20"/>
        </w:rPr>
        <w:t> </w:t>
      </w:r>
      <w:r>
        <w:rPr>
          <w:sz w:val="20"/>
        </w:rPr>
        <w:t>Plan de</w:t>
      </w:r>
      <w:r>
        <w:rPr>
          <w:spacing w:val="-21"/>
          <w:sz w:val="20"/>
        </w:rPr>
        <w:t> </w:t>
      </w:r>
      <w:r>
        <w:rPr>
          <w:sz w:val="20"/>
        </w:rPr>
        <w:t>Acción</w:t>
      </w:r>
      <w:r>
        <w:rPr>
          <w:spacing w:val="-18"/>
          <w:sz w:val="20"/>
        </w:rPr>
        <w:t> </w:t>
      </w:r>
      <w:r>
        <w:rPr>
          <w:sz w:val="20"/>
        </w:rPr>
        <w:t>2019-2021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México</w:t>
      </w:r>
      <w:r>
        <w:rPr>
          <w:spacing w:val="-20"/>
          <w:sz w:val="20"/>
        </w:rPr>
        <w:t> </w:t>
      </w:r>
      <w:r>
        <w:rPr>
          <w:sz w:val="20"/>
        </w:rPr>
        <w:t>ante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Alianza</w:t>
      </w:r>
      <w:r>
        <w:rPr>
          <w:spacing w:val="-19"/>
          <w:sz w:val="20"/>
        </w:rPr>
        <w:t> </w:t>
      </w:r>
      <w:r>
        <w:rPr>
          <w:sz w:val="20"/>
        </w:rPr>
        <w:t>para</w:t>
      </w:r>
      <w:r>
        <w:rPr>
          <w:spacing w:val="-20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Gobierno</w:t>
      </w:r>
      <w:r>
        <w:rPr>
          <w:spacing w:val="-21"/>
          <w:sz w:val="20"/>
        </w:rPr>
        <w:t> </w:t>
      </w:r>
      <w:r>
        <w:rPr>
          <w:sz w:val="20"/>
        </w:rPr>
        <w:t>Abierto.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440"/>
      </w:pPr>
      <w:r>
        <w:rPr/>
        <w:t>Los integrantes del Comité Coordinador de la Alianza para el Gobierno Abierto (AGA) en México</w:t>
      </w:r>
    </w:p>
    <w:p>
      <w:pPr>
        <w:pStyle w:val="BodyText"/>
        <w:spacing w:line="276" w:lineRule="auto" w:before="38"/>
        <w:ind w:left="1440" w:right="1436"/>
        <w:jc w:val="both"/>
      </w:pPr>
      <w:r>
        <w:rPr/>
        <w:t>—conformado por la Secretaría de la Función Pública, el NOSC y el INAI—, han reactivado el diálogo y los trabajos para coordinar los procesos de construcción, seguimiento y evaluación de los Planes de Acción Nacionales de México ante dicha iniciativa internacional. Durante el mes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febrero,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han</w:t>
      </w:r>
      <w:r>
        <w:rPr>
          <w:spacing w:val="-6"/>
        </w:rPr>
        <w:t> </w:t>
      </w:r>
      <w:r>
        <w:rPr/>
        <w:t>realizado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reuniones</w:t>
      </w:r>
      <w:r>
        <w:rPr>
          <w:spacing w:val="-6"/>
        </w:rPr>
        <w:t> </w:t>
      </w:r>
      <w:r>
        <w:rPr/>
        <w:t>preparatorias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abordar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alcances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 reanudación de los trabajos y el diseño de la hoja de ruta para atender la problemática de vigilancia</w:t>
      </w:r>
      <w:r>
        <w:rPr>
          <w:spacing w:val="-18"/>
        </w:rPr>
        <w:t> </w:t>
      </w:r>
      <w:r>
        <w:rPr/>
        <w:t>estatal</w:t>
      </w:r>
      <w:r>
        <w:rPr>
          <w:spacing w:val="-19"/>
        </w:rPr>
        <w:t> </w:t>
      </w:r>
      <w:r>
        <w:rPr/>
        <w:t>ilegal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México.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/>
        <w:ind w:left="1440" w:right="1442"/>
        <w:jc w:val="both"/>
      </w:pPr>
      <w:r>
        <w:rPr/>
        <w:t>Tras la denuncia de presuntos actos de espionaje ilegal contra activistas y defensores de derechos humanos, así como la modificación de alcances a los compromisos del Tercer Plan de</w:t>
      </w:r>
      <w:r>
        <w:rPr>
          <w:spacing w:val="-28"/>
        </w:rPr>
        <w:t> </w:t>
      </w:r>
      <w:r>
        <w:rPr/>
        <w:t>Acción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derivó</w:t>
      </w:r>
      <w:r>
        <w:rPr>
          <w:spacing w:val="-28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salida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NOSC</w:t>
      </w:r>
      <w:r>
        <w:rPr>
          <w:spacing w:val="-26"/>
        </w:rPr>
        <w:t> </w:t>
      </w:r>
      <w:r>
        <w:rPr/>
        <w:t>del</w:t>
      </w:r>
      <w:r>
        <w:rPr>
          <w:spacing w:val="-27"/>
        </w:rPr>
        <w:t> </w:t>
      </w:r>
      <w:r>
        <w:rPr/>
        <w:t>Secretariado</w:t>
      </w:r>
      <w:r>
        <w:rPr>
          <w:spacing w:val="-28"/>
        </w:rPr>
        <w:t> </w:t>
      </w:r>
      <w:r>
        <w:rPr/>
        <w:t>Técnico</w:t>
      </w:r>
      <w:r>
        <w:rPr>
          <w:spacing w:val="-27"/>
        </w:rPr>
        <w:t> </w:t>
      </w:r>
      <w:r>
        <w:rPr/>
        <w:t>Tripartita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/>
        <w:t>mayo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2017, los integrantes del Comité Coordinador han acordado una hoja de ruta para evitar que otro episodio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Pegasus</w:t>
      </w:r>
      <w:r>
        <w:rPr>
          <w:spacing w:val="-16"/>
        </w:rPr>
        <w:t> </w:t>
      </w:r>
      <w:r>
        <w:rPr/>
        <w:t>vuelva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ocurrir.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6" w:lineRule="auto"/>
        <w:ind w:left="1440" w:right="1442"/>
        <w:jc w:val="both"/>
      </w:pPr>
      <w:r>
        <w:rPr/>
        <w:t>Esta hoja de ruta establece la realización de un foro público el 26 de marzo del año en curso cuyo</w:t>
      </w:r>
      <w:r>
        <w:rPr>
          <w:spacing w:val="-10"/>
        </w:rPr>
        <w:t> </w:t>
      </w:r>
      <w:r>
        <w:rPr/>
        <w:t>objetivo</w:t>
      </w:r>
      <w:r>
        <w:rPr>
          <w:spacing w:val="-9"/>
        </w:rPr>
        <w:t> </w:t>
      </w:r>
      <w:r>
        <w:rPr/>
        <w:t>es</w:t>
      </w:r>
      <w:r>
        <w:rPr>
          <w:spacing w:val="-7"/>
        </w:rPr>
        <w:t> </w:t>
      </w:r>
      <w:r>
        <w:rPr/>
        <w:t>impulsar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diálogo</w:t>
      </w:r>
      <w:r>
        <w:rPr>
          <w:spacing w:val="-9"/>
        </w:rPr>
        <w:t> </w:t>
      </w:r>
      <w:r>
        <w:rPr/>
        <w:t>abierto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plural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torno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vigilancia</w:t>
      </w:r>
      <w:r>
        <w:rPr>
          <w:spacing w:val="-9"/>
        </w:rPr>
        <w:t> </w:t>
      </w:r>
      <w:r>
        <w:rPr/>
        <w:t>estatal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México para elaborar una política de prevención y control de esta problemática, la cual se diseñará mediante un proceso colaborativo que incluya consultas, entrevistas, sesiones y talleres con personas clave (personas servidoras públicas, integrantes de la academia, especialistas y representantes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sociedad</w:t>
      </w:r>
      <w:r>
        <w:rPr>
          <w:spacing w:val="-19"/>
        </w:rPr>
        <w:t> </w:t>
      </w:r>
      <w:r>
        <w:rPr/>
        <w:t>civil,</w:t>
      </w:r>
      <w:r>
        <w:rPr>
          <w:spacing w:val="-18"/>
        </w:rPr>
        <w:t> </w:t>
      </w:r>
      <w:r>
        <w:rPr/>
        <w:t>nacionales</w:t>
      </w:r>
      <w:r>
        <w:rPr>
          <w:spacing w:val="-18"/>
        </w:rPr>
        <w:t> </w:t>
      </w:r>
      <w:r>
        <w:rPr/>
        <w:t>e</w:t>
      </w:r>
      <w:r>
        <w:rPr>
          <w:spacing w:val="-19"/>
        </w:rPr>
        <w:t> </w:t>
      </w:r>
      <w:r>
        <w:rPr/>
        <w:t>internacionales).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0" w:right="1435" w:firstLine="0"/>
        <w:jc w:val="right"/>
        <w:rPr>
          <w:sz w:val="16"/>
        </w:rPr>
      </w:pPr>
      <w:r>
        <w:rPr>
          <w:w w:val="57"/>
          <w:sz w:val="16"/>
        </w:rPr>
        <w:t>1</w:t>
      </w:r>
    </w:p>
    <w:p>
      <w:pPr>
        <w:spacing w:after="0"/>
        <w:jc w:val="right"/>
        <w:rPr>
          <w:sz w:val="16"/>
        </w:rPr>
        <w:sectPr>
          <w:type w:val="continuous"/>
          <w:pgSz w:w="12240" w:h="15840"/>
          <w:pgMar w:top="500" w:bottom="280" w:left="0" w:right="0"/>
        </w:sectPr>
      </w:pPr>
    </w:p>
    <w:p>
      <w:pPr>
        <w:pStyle w:val="BodyText"/>
        <w:tabs>
          <w:tab w:pos="8611" w:val="left" w:leader="none"/>
        </w:tabs>
        <w:ind w:left="1178"/>
      </w:pPr>
      <w:r>
        <w:rPr/>
        <w:pict>
          <v:group style="width:341.15pt;height:109.2pt;mso-position-horizontal-relative:char;mso-position-vertical-relative:line" coordorigin="0,0" coordsize="6823,2184">
            <v:shape style="position:absolute;left:2964;top:563;width:3859;height:1335" type="#_x0000_t75" stroked="false">
              <v:imagedata r:id="rId5" o:title=""/>
            </v:shape>
            <v:shape style="position:absolute;left:0;top:0;width:2907;height:2184" type="#_x0000_t75" stroked="false">
              <v:imagedata r:id="rId6" o:title=""/>
            </v:shape>
          </v:group>
        </w:pict>
      </w:r>
      <w:r>
        <w:rPr/>
      </w:r>
      <w:r>
        <w:rPr/>
        <w:tab/>
      </w:r>
      <w:r>
        <w:rPr>
          <w:position w:val="48"/>
        </w:rPr>
        <w:drawing>
          <wp:inline distT="0" distB="0" distL="0" distR="0">
            <wp:extent cx="1321062" cy="77266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6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"/>
        </w:rPr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76" w:lineRule="auto" w:before="92"/>
        <w:ind w:left="1440" w:right="1435"/>
        <w:jc w:val="both"/>
      </w:pPr>
      <w:r>
        <w:rPr/>
        <w:t>Cabe</w:t>
      </w:r>
      <w:r>
        <w:rPr>
          <w:spacing w:val="-18"/>
        </w:rPr>
        <w:t> </w:t>
      </w:r>
      <w:r>
        <w:rPr/>
        <w:t>señalar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tanto</w:t>
      </w:r>
      <w:r>
        <w:rPr>
          <w:spacing w:val="-13"/>
        </w:rPr>
        <w:t> </w:t>
      </w:r>
      <w:r>
        <w:rPr/>
        <w:t>el</w:t>
      </w:r>
      <w:r>
        <w:rPr>
          <w:spacing w:val="-17"/>
        </w:rPr>
        <w:t> </w:t>
      </w:r>
      <w:r>
        <w:rPr/>
        <w:t>titular</w:t>
      </w:r>
      <w:r>
        <w:rPr>
          <w:spacing w:val="-14"/>
        </w:rPr>
        <w:t> </w:t>
      </w:r>
      <w:r>
        <w:rPr/>
        <w:t>del</w:t>
      </w:r>
      <w:r>
        <w:rPr>
          <w:spacing w:val="-17"/>
        </w:rPr>
        <w:t> </w:t>
      </w:r>
      <w:r>
        <w:rPr/>
        <w:t>Ejecutivo</w:t>
      </w:r>
      <w:r>
        <w:rPr>
          <w:spacing w:val="-17"/>
        </w:rPr>
        <w:t> </w:t>
      </w:r>
      <w:r>
        <w:rPr/>
        <w:t>Federal</w:t>
      </w:r>
      <w:r>
        <w:rPr>
          <w:spacing w:val="-17"/>
        </w:rPr>
        <w:t> </w:t>
      </w:r>
      <w:r>
        <w:rPr/>
        <w:t>como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INAI</w:t>
      </w:r>
      <w:r>
        <w:rPr>
          <w:spacing w:val="-16"/>
        </w:rPr>
        <w:t> </w:t>
      </w:r>
      <w:r>
        <w:rPr/>
        <w:t>han</w:t>
      </w:r>
      <w:r>
        <w:rPr>
          <w:spacing w:val="-14"/>
        </w:rPr>
        <w:t> </w:t>
      </w:r>
      <w:r>
        <w:rPr/>
        <w:t>reprobado</w:t>
      </w:r>
      <w:r>
        <w:rPr>
          <w:spacing w:val="-17"/>
        </w:rPr>
        <w:t> </w:t>
      </w:r>
      <w:r>
        <w:rPr/>
        <w:t>en</w:t>
      </w:r>
      <w:r>
        <w:rPr>
          <w:spacing w:val="-13"/>
        </w:rPr>
        <w:t> </w:t>
      </w:r>
      <w:r>
        <w:rPr/>
        <w:t>diversas ocasiones cualquier acto de espionaje y de intervención de comunicaciones sin controles judiciales. De igual forma, el INAI, desde la denuncia que hicieran las organizaciones de la sociedad</w:t>
      </w:r>
      <w:r>
        <w:rPr>
          <w:spacing w:val="-14"/>
        </w:rPr>
        <w:t> </w:t>
      </w:r>
      <w:r>
        <w:rPr/>
        <w:t>civil,</w:t>
      </w:r>
      <w:r>
        <w:rPr>
          <w:spacing w:val="-11"/>
        </w:rPr>
        <w:t> </w:t>
      </w:r>
      <w:r>
        <w:rPr/>
        <w:t>ha</w:t>
      </w:r>
      <w:r>
        <w:rPr>
          <w:spacing w:val="-14"/>
        </w:rPr>
        <w:t> </w:t>
      </w:r>
      <w:r>
        <w:rPr/>
        <w:t>mostrado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compromiso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protección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datos</w:t>
      </w:r>
      <w:r>
        <w:rPr>
          <w:spacing w:val="-10"/>
        </w:rPr>
        <w:t> </w:t>
      </w:r>
      <w:r>
        <w:rPr/>
        <w:t>personales,</w:t>
      </w:r>
      <w:r>
        <w:rPr>
          <w:spacing w:val="-13"/>
        </w:rPr>
        <w:t> </w:t>
      </w:r>
      <w:r>
        <w:rPr/>
        <w:t>tal</w:t>
      </w:r>
      <w:r>
        <w:rPr>
          <w:spacing w:val="-15"/>
        </w:rPr>
        <w:t> </w:t>
      </w:r>
      <w:r>
        <w:rPr/>
        <w:t>como</w:t>
      </w:r>
      <w:r>
        <w:rPr>
          <w:spacing w:val="-14"/>
        </w:rPr>
        <w:t> </w:t>
      </w:r>
      <w:r>
        <w:rPr/>
        <w:t>se </w:t>
      </w:r>
      <w:r>
        <w:rPr>
          <w:spacing w:val="-1"/>
          <w:w w:val="108"/>
        </w:rPr>
        <w:t>d</w:t>
      </w:r>
      <w:r>
        <w:rPr>
          <w:w w:val="105"/>
        </w:rPr>
        <w:t>em</w:t>
      </w:r>
      <w:r>
        <w:rPr>
          <w:spacing w:val="2"/>
          <w:w w:val="105"/>
        </w:rPr>
        <w:t>u</w:t>
      </w:r>
      <w:r>
        <w:rPr>
          <w:w w:val="97"/>
        </w:rPr>
        <w:t>es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w w:val="97"/>
        </w:rPr>
        <w:t>a</w:t>
      </w:r>
      <w:r>
        <w:rPr>
          <w:spacing w:val="-23"/>
        </w:rPr>
        <w:t> </w:t>
      </w:r>
      <w:r>
        <w:rPr>
          <w:w w:val="103"/>
        </w:rPr>
        <w:t>en</w:t>
      </w:r>
      <w:r>
        <w:rPr>
          <w:spacing w:val="-24"/>
        </w:rPr>
        <w:t> </w:t>
      </w:r>
      <w:r>
        <w:rPr>
          <w:spacing w:val="1"/>
          <w:w w:val="97"/>
        </w:rPr>
        <w:t>l</w:t>
      </w:r>
      <w:r>
        <w:rPr>
          <w:w w:val="97"/>
        </w:rPr>
        <w:t>a</w:t>
      </w:r>
      <w:r>
        <w:rPr>
          <w:spacing w:val="-23"/>
        </w:rPr>
        <w:t> </w:t>
      </w:r>
      <w:r>
        <w:rPr>
          <w:spacing w:val="-1"/>
          <w:w w:val="93"/>
        </w:rPr>
        <w:t>r</w:t>
      </w:r>
      <w:r>
        <w:rPr>
          <w:w w:val="102"/>
        </w:rPr>
        <w:t>ec</w:t>
      </w:r>
      <w:r>
        <w:rPr>
          <w:spacing w:val="1"/>
          <w:w w:val="102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spacing w:val="2"/>
          <w:w w:val="102"/>
        </w:rPr>
        <w:t>t</w:t>
      </w:r>
      <w:r>
        <w:rPr>
          <w:w w:val="100"/>
        </w:rPr>
        <w:t>e</w:t>
      </w:r>
      <w:r>
        <w:rPr>
          <w:spacing w:val="-23"/>
        </w:rPr>
        <w:t> </w:t>
      </w:r>
      <w:r>
        <w:rPr>
          <w:spacing w:val="-1"/>
          <w:w w:val="93"/>
        </w:rPr>
        <w:t>r</w:t>
      </w:r>
      <w:r>
        <w:rPr>
          <w:w w:val="97"/>
        </w:rPr>
        <w:t>es</w:t>
      </w:r>
      <w:r>
        <w:rPr>
          <w:w w:val="101"/>
        </w:rPr>
        <w:t>o</w:t>
      </w:r>
      <w:r>
        <w:rPr>
          <w:spacing w:val="-1"/>
          <w:w w:val="101"/>
        </w:rPr>
        <w:t>l</w:t>
      </w:r>
      <w:r>
        <w:rPr>
          <w:w w:val="106"/>
        </w:rPr>
        <w:t>u</w:t>
      </w:r>
      <w:r>
        <w:rPr>
          <w:spacing w:val="3"/>
          <w:w w:val="106"/>
        </w:rPr>
        <w:t>c</w:t>
      </w:r>
      <w:r>
        <w:rPr>
          <w:spacing w:val="-1"/>
          <w:w w:val="97"/>
        </w:rPr>
        <w:t>i</w:t>
      </w:r>
      <w:r>
        <w:rPr>
          <w:w w:val="104"/>
        </w:rPr>
        <w:t>ón</w:t>
      </w:r>
      <w:r>
        <w:rPr>
          <w:spacing w:val="-23"/>
        </w:rPr>
        <w:t> </w:t>
      </w:r>
      <w:r>
        <w:rPr>
          <w:spacing w:val="1"/>
          <w:w w:val="108"/>
        </w:rPr>
        <w:t>d</w:t>
      </w:r>
      <w:r>
        <w:rPr>
          <w:w w:val="100"/>
        </w:rPr>
        <w:t>e</w:t>
      </w:r>
      <w:r>
        <w:rPr>
          <w:spacing w:val="-23"/>
        </w:rPr>
        <w:t> </w:t>
      </w:r>
      <w:r>
        <w:rPr>
          <w:w w:val="93"/>
        </w:rPr>
        <w:t>s</w:t>
      </w:r>
      <w:r>
        <w:rPr>
          <w:w w:val="105"/>
        </w:rPr>
        <w:t>u</w:t>
      </w:r>
      <w:r>
        <w:rPr>
          <w:spacing w:val="-22"/>
        </w:rPr>
        <w:t> </w:t>
      </w:r>
      <w:r>
        <w:rPr>
          <w:w w:val="118"/>
        </w:rPr>
        <w:t>P</w:t>
      </w:r>
      <w:r>
        <w:rPr>
          <w:spacing w:val="-1"/>
          <w:w w:val="97"/>
        </w:rPr>
        <w:t>l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o</w:t>
      </w:r>
      <w:r>
        <w:rPr>
          <w:spacing w:val="-21"/>
        </w:rPr>
        <w:t> </w:t>
      </w:r>
      <w:r>
        <w:rPr>
          <w:spacing w:val="-1"/>
          <w:w w:val="93"/>
        </w:rPr>
        <w:t>r</w:t>
      </w:r>
      <w:r>
        <w:rPr>
          <w:w w:val="97"/>
        </w:rPr>
        <w:t>es</w:t>
      </w:r>
      <w:r>
        <w:rPr>
          <w:spacing w:val="-1"/>
          <w:w w:val="108"/>
        </w:rPr>
        <w:t>p</w:t>
      </w:r>
      <w:r>
        <w:rPr>
          <w:w w:val="103"/>
        </w:rPr>
        <w:t>ect</w:t>
      </w:r>
      <w:r>
        <w:rPr>
          <w:w w:val="102"/>
        </w:rPr>
        <w:t>o</w:t>
      </w:r>
      <w:r>
        <w:rPr>
          <w:spacing w:val="-23"/>
        </w:rPr>
        <w:t> </w:t>
      </w:r>
      <w:r>
        <w:rPr>
          <w:w w:val="97"/>
        </w:rPr>
        <w:t>al</w:t>
      </w:r>
      <w:r>
        <w:rPr>
          <w:spacing w:val="-24"/>
        </w:rPr>
        <w:t> 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w w:val="102"/>
        </w:rPr>
        <w:t>o</w:t>
      </w:r>
      <w:r>
        <w:rPr>
          <w:spacing w:val="-23"/>
        </w:rPr>
        <w:t> </w:t>
      </w:r>
      <w:r>
        <w:rPr>
          <w:spacing w:val="1"/>
          <w:w w:val="108"/>
        </w:rPr>
        <w:t>d</w:t>
      </w:r>
      <w:r>
        <w:rPr>
          <w:w w:val="99"/>
        </w:rPr>
        <w:t>el</w:t>
      </w:r>
      <w:r>
        <w:rPr>
          <w:spacing w:val="-19"/>
        </w:rPr>
        <w:t> </w:t>
      </w:r>
      <w:r>
        <w:rPr>
          <w:i/>
          <w:spacing w:val="2"/>
          <w:w w:val="108"/>
        </w:rPr>
        <w:t>m</w:t>
      </w:r>
      <w:r>
        <w:rPr>
          <w:i/>
          <w:spacing w:val="-1"/>
          <w:w w:val="112"/>
        </w:rPr>
        <w:t>a</w:t>
      </w:r>
      <w:r>
        <w:rPr>
          <w:i/>
          <w:spacing w:val="1"/>
          <w:w w:val="97"/>
        </w:rPr>
        <w:t>l</w:t>
      </w:r>
      <w:r>
        <w:rPr>
          <w:i/>
          <w:w w:val="105"/>
        </w:rPr>
        <w:t>wa</w:t>
      </w:r>
      <w:r>
        <w:rPr>
          <w:i/>
          <w:spacing w:val="1"/>
          <w:w w:val="105"/>
        </w:rPr>
        <w:t>r</w:t>
      </w:r>
      <w:r>
        <w:rPr>
          <w:i/>
          <w:w w:val="100"/>
        </w:rPr>
        <w:t>e</w:t>
      </w:r>
      <w:r>
        <w:rPr>
          <w:i/>
          <w:spacing w:val="-23"/>
        </w:rPr>
        <w:t> </w:t>
      </w:r>
      <w:r>
        <w:rPr>
          <w:w w:val="118"/>
        </w:rPr>
        <w:t>P</w:t>
      </w:r>
      <w:r>
        <w:rPr>
          <w:w w:val="100"/>
        </w:rPr>
        <w:t>egas</w:t>
      </w:r>
      <w:r>
        <w:rPr>
          <w:w w:val="100"/>
        </w:rPr>
        <w:t>u</w:t>
      </w:r>
      <w:r>
        <w:rPr>
          <w:spacing w:val="1"/>
          <w:w w:val="100"/>
        </w:rPr>
        <w:t>s</w:t>
      </w:r>
      <w:r>
        <w:rPr>
          <w:w w:val="58"/>
        </w:rPr>
        <w:t>.</w:t>
      </w:r>
      <w:r>
        <w:rPr>
          <w:spacing w:val="-22"/>
        </w:rPr>
        <w:t> </w:t>
      </w:r>
      <w:r>
        <w:rPr>
          <w:w w:val="101"/>
        </w:rPr>
        <w:t>La</w:t>
      </w:r>
      <w:r>
        <w:rPr>
          <w:spacing w:val="-22"/>
        </w:rPr>
        <w:t> </w:t>
      </w:r>
      <w:r>
        <w:rPr>
          <w:w w:val="99"/>
        </w:rPr>
        <w:t>ho</w:t>
      </w:r>
      <w:r>
        <w:rPr>
          <w:spacing w:val="1"/>
          <w:w w:val="99"/>
        </w:rPr>
        <w:t>j</w:t>
      </w:r>
      <w:r>
        <w:rPr>
          <w:w w:val="97"/>
        </w:rPr>
        <w:t>a </w:t>
      </w:r>
      <w:r>
        <w:rPr/>
        <w:t>de ruta acordada atiende exigencias sociales mínimas para que en México se pueda llegar a garantizar la legalidad, transparencia y rendición de cuentas en el uso de tecnologías para la vigilancia</w:t>
      </w:r>
      <w:r>
        <w:rPr>
          <w:spacing w:val="-18"/>
        </w:rPr>
        <w:t> </w:t>
      </w:r>
      <w:r>
        <w:rPr/>
        <w:t>gubernamental.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 w:before="1"/>
        <w:ind w:left="1440" w:right="1437"/>
        <w:jc w:val="both"/>
      </w:pPr>
      <w:r>
        <w:rPr/>
        <w:t>Por su parte, el Comité Coordinador —como espacio de toma de decisiones de la AGA en México— se fortalece al incorporar como un nuevo participante permanente a un representante del sector académico. De esta manera, se establecen las condiciones para iniciar el proceso de construcción del Cuarto Plan de Acción 2019-2021 de México, el cual deberá presentarse a más tardar el 31 de agosto de 2019.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78" w:lineRule="auto"/>
        <w:ind w:left="1440" w:right="1440"/>
        <w:jc w:val="both"/>
      </w:pPr>
      <w:r>
        <w:rPr/>
        <w:t>De esta manera, la Alianza para el Gobierno Abierto en México busca contribuir a la democratización de la toma de decisiones gubernamentales y la apertura de espacios de deliberación ciudadana, mediante el diseño y co construcción de compromisos encaminados a promover la presencia de la sociedad en la toma de las decisiones públicas.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r>
        <w:rPr/>
        <w:t>Atentamente</w:t>
      </w: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1440" w:right="0" w:firstLine="0"/>
        <w:jc w:val="both"/>
        <w:rPr>
          <w:b/>
          <w:sz w:val="20"/>
        </w:rPr>
      </w:pPr>
      <w:r>
        <w:rPr>
          <w:b/>
          <w:sz w:val="20"/>
        </w:rPr>
        <w:t>Dra. Irma Eréndira Sandoval Ballesteros</w:t>
      </w:r>
    </w:p>
    <w:p>
      <w:pPr>
        <w:pStyle w:val="BodyText"/>
        <w:spacing w:before="38"/>
        <w:ind w:left="1440"/>
        <w:jc w:val="both"/>
      </w:pPr>
      <w:r>
        <w:rPr/>
        <w:t>Secretaria de la Función Pública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Mtro. Joel Salas Suárez</w:t>
      </w:r>
    </w:p>
    <w:p>
      <w:pPr>
        <w:pStyle w:val="BodyText"/>
        <w:spacing w:line="278" w:lineRule="auto" w:before="38"/>
        <w:ind w:left="1440" w:right="1438"/>
        <w:jc w:val="both"/>
      </w:pPr>
      <w:r>
        <w:rPr/>
        <w:t>Comisionado y Coordinador de la Comisión de Gobierno Abierto y Transparencia del</w:t>
      </w:r>
      <w:r>
        <w:rPr>
          <w:spacing w:val="-38"/>
        </w:rPr>
        <w:t> </w:t>
      </w:r>
      <w:r>
        <w:rPr/>
        <w:t>Instituto Nacional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Transparencia,</w:t>
      </w:r>
      <w:r>
        <w:rPr>
          <w:spacing w:val="-5"/>
        </w:rPr>
        <w:t> </w:t>
      </w:r>
      <w:r>
        <w:rPr/>
        <w:t>Acceso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Información</w:t>
      </w:r>
      <w:r>
        <w:rPr>
          <w:spacing w:val="-8"/>
        </w:rPr>
        <w:t> </w:t>
      </w:r>
      <w:r>
        <w:rPr/>
        <w:t>Pública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Protección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Datos</w:t>
      </w:r>
      <w:r>
        <w:rPr>
          <w:spacing w:val="-7"/>
        </w:rPr>
        <w:t> </w:t>
      </w:r>
      <w:r>
        <w:rPr/>
        <w:t>Personales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</w:pPr>
      <w:r>
        <w:rPr/>
        <w:t>Mtro. Juan Manuel Casanueva Vargas</w:t>
      </w:r>
    </w:p>
    <w:p>
      <w:pPr>
        <w:pStyle w:val="BodyText"/>
        <w:spacing w:before="36"/>
        <w:ind w:left="1440"/>
        <w:jc w:val="both"/>
      </w:pPr>
      <w:r>
        <w:rPr/>
        <w:t>Director General de SocialTIC y Coordinador del Núcleo de Organizaciones de la Sociedad Civil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spacing w:before="95"/>
        <w:ind w:left="0" w:right="1435" w:firstLine="0"/>
        <w:jc w:val="right"/>
        <w:rPr>
          <w:sz w:val="16"/>
        </w:rPr>
      </w:pPr>
      <w:r>
        <w:rPr>
          <w:w w:val="89"/>
          <w:sz w:val="16"/>
        </w:rPr>
        <w:t>2</w:t>
      </w:r>
    </w:p>
    <w:p>
      <w:pPr>
        <w:spacing w:after="0"/>
        <w:jc w:val="right"/>
        <w:rPr>
          <w:sz w:val="16"/>
        </w:rPr>
        <w:sectPr>
          <w:pgSz w:w="12240" w:h="15840"/>
          <w:pgMar w:top="500" w:bottom="280" w:left="0" w:right="0"/>
        </w:sectPr>
      </w:pPr>
    </w:p>
    <w:p>
      <w:pPr>
        <w:pStyle w:val="BodyText"/>
        <w:ind w:left="172" w:right="-12"/>
      </w:pPr>
      <w:bookmarkStart w:name="Acuerdo hoja de ruta de vigilancia 01032" w:id="2"/>
      <w:bookmarkEnd w:id="2"/>
      <w:r>
        <w:rPr/>
      </w:r>
      <w:r>
        <w:rPr/>
        <w:drawing>
          <wp:inline distT="0" distB="0" distL="0" distR="0">
            <wp:extent cx="7644383" cy="9985248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top="0" w:bottom="0" w:left="0" w:right="0"/>
        </w:sectPr>
      </w:pPr>
    </w:p>
    <w:p>
      <w:pPr>
        <w:pStyle w:val="BodyText"/>
        <w:ind w:left="115" w:right="-12"/>
      </w:pPr>
      <w:r>
        <w:rPr/>
        <w:drawing>
          <wp:inline distT="0" distB="0" distL="0" distR="0">
            <wp:extent cx="7680959" cy="10021824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top="0" w:bottom="0" w:left="0" w:right="0"/>
        </w:sectPr>
      </w:pPr>
    </w:p>
    <w:p>
      <w:pPr>
        <w:pStyle w:val="BodyText"/>
        <w:ind w:left="288" w:right="-12"/>
      </w:pPr>
      <w:r>
        <w:rPr/>
        <w:drawing>
          <wp:inline distT="0" distB="0" distL="0" distR="0">
            <wp:extent cx="7571232" cy="10021824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2160" w:hanging="360"/>
      </w:pPr>
      <w:rPr>
        <w:rFonts w:hint="default" w:ascii="Arial" w:hAnsi="Arial" w:eastAsia="Arial" w:cs="Arial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316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7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8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9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0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0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1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24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</w:rPr>
  </w:style>
  <w:style w:styleId="Heading1" w:type="paragraph">
    <w:name w:val="Heading 1"/>
    <w:basedOn w:val="Normal"/>
    <w:uiPriority w:val="1"/>
    <w:qFormat/>
    <w:pPr>
      <w:ind w:left="1440"/>
      <w:jc w:val="both"/>
      <w:outlineLvl w:val="1"/>
    </w:pPr>
    <w:rPr>
      <w:rFonts w:ascii="Verdana" w:hAnsi="Verdana" w:eastAsia="Verdana" w:cs="Verdana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2160" w:right="1440" w:hanging="360"/>
      <w:jc w:val="both"/>
    </w:pPr>
    <w:rPr>
      <w:rFonts w:ascii="Verdana" w:hAnsi="Verdana" w:eastAsia="Verdana" w:cs="Verdan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Hernández Jiménez, Rodolfo</dc:creator>
  <dcterms:created xsi:type="dcterms:W3CDTF">2019-03-05T19:05:38Z</dcterms:created>
  <dcterms:modified xsi:type="dcterms:W3CDTF">2019-03-05T19:05:38Z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Acrobat Pro DC 18.9.20044</vt:lpwstr>
  </property>
  <property fmtid="{D5CDD505-2E9C-101B-9397-08002B2CF9AE}" pid="4" name="LastSaved">
    <vt:filetime>2019-03-05T00:00:00Z</vt:filetime>
  </property>
</Properties>
</file>