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21C2754" w14:textId="77777777" w:rsidR="005E0013" w:rsidRDefault="0089209A">
      <w:pPr>
        <w:pStyle w:val="normal0"/>
        <w:jc w:val="both"/>
      </w:pPr>
      <w:r>
        <w:t>27 de enero de 2015</w:t>
      </w:r>
    </w:p>
    <w:p w14:paraId="6D1DB055" w14:textId="77777777" w:rsidR="005E0013" w:rsidRDefault="005E0013">
      <w:pPr>
        <w:pStyle w:val="normal0"/>
        <w:jc w:val="both"/>
      </w:pPr>
    </w:p>
    <w:p w14:paraId="2AAE87DC" w14:textId="0AB002D8" w:rsidR="005E0013" w:rsidRDefault="0089209A">
      <w:pPr>
        <w:pStyle w:val="normal0"/>
        <w:jc w:val="both"/>
      </w:pPr>
      <w:r>
        <w:t>Artículo 19, oficina para México y Centroamérica</w:t>
      </w:r>
      <w:r w:rsidR="009F1C92">
        <w:t xml:space="preserve"> - </w:t>
      </w:r>
      <w:r>
        <w:t xml:space="preserve">Red en Defensa de los Derechos Digitales, R3D </w:t>
      </w:r>
      <w:r w:rsidR="009F1C92">
        <w:t>– Electronic Frontier Foundation, EFF</w:t>
      </w:r>
      <w:bookmarkStart w:id="0" w:name="_GoBack"/>
      <w:bookmarkEnd w:id="0"/>
    </w:p>
    <w:p w14:paraId="049ED4E6" w14:textId="77777777" w:rsidR="005E0013" w:rsidRDefault="005E0013">
      <w:pPr>
        <w:pStyle w:val="normal0"/>
        <w:jc w:val="both"/>
      </w:pPr>
    </w:p>
    <w:p w14:paraId="5C5A2417" w14:textId="4B324D00" w:rsidR="005E0013" w:rsidRDefault="0089209A">
      <w:pPr>
        <w:pStyle w:val="normal0"/>
        <w:jc w:val="center"/>
      </w:pPr>
      <w:r>
        <w:t>Posicionamiento frente a la expedición de los lineamientos del IFT relativos</w:t>
      </w:r>
      <w:r w:rsidR="006C4EF5">
        <w:t xml:space="preserve"> a</w:t>
      </w:r>
      <w:r>
        <w:t xml:space="preserve"> las disposiciones de colaboración con la justicia de la LFTR</w:t>
      </w:r>
    </w:p>
    <w:p w14:paraId="09276A77" w14:textId="77777777" w:rsidR="005E0013" w:rsidRDefault="005E0013">
      <w:pPr>
        <w:pStyle w:val="normal0"/>
        <w:jc w:val="both"/>
      </w:pPr>
    </w:p>
    <w:p w14:paraId="482BFE1E" w14:textId="77777777" w:rsidR="005E0013" w:rsidRDefault="0089209A">
      <w:pPr>
        <w:pStyle w:val="normal0"/>
        <w:jc w:val="both"/>
      </w:pPr>
      <w:r>
        <w:t>La privacidad y la libertad de expresión, son derechos humanos esenciales para el ejercicio de otros derechos y libertades. La reciente aprobación y entrada en vigor de la Ley Federal de Telecomunicaciones y Radiodifusión produjo una serie de amenazas a este derecho y por tanto, a los derechos a la libertad de expresión, asociación y de reunión.  La regulación de las telecomunicaciones no es un tema exclusivamente tecnológico o comercial sino también de protección de derechos.</w:t>
      </w:r>
    </w:p>
    <w:p w14:paraId="5AC0A927" w14:textId="77777777" w:rsidR="005E0013" w:rsidRDefault="0089209A">
      <w:pPr>
        <w:pStyle w:val="normal0"/>
        <w:jc w:val="both"/>
      </w:pPr>
      <w:r>
        <w:t xml:space="preserve"> </w:t>
      </w:r>
    </w:p>
    <w:p w14:paraId="2C26185B" w14:textId="77777777" w:rsidR="005E0013" w:rsidRDefault="0089209A">
      <w:pPr>
        <w:pStyle w:val="normal0"/>
        <w:jc w:val="both"/>
      </w:pPr>
      <w:r>
        <w:t>La revelación hecha por el periódico Reforma en días pasados, sobre el que sería “Proyecto de Lineamientos de colaboración en materia de Seguridad y Justicia” que habría de votar el pleno del Consejo del Instituto Federal de Comunicaciones (IFT), confirma la dimensión de las responsabilidades depositadas en este órgano y la necesidad de la sociedad civil de que éste ejerza sus funciones y forme sus criterios con la mayor autonomía, especialmente cuando se trata de generar garantías institucionales a derechos fundamentales como la privacidad y la libertad de expresión.</w:t>
      </w:r>
    </w:p>
    <w:p w14:paraId="4C813712" w14:textId="77777777" w:rsidR="005E0013" w:rsidRDefault="005E0013">
      <w:pPr>
        <w:pStyle w:val="normal0"/>
        <w:jc w:val="both"/>
      </w:pPr>
    </w:p>
    <w:p w14:paraId="142A897B" w14:textId="77777777" w:rsidR="005E0013" w:rsidRDefault="0089209A">
      <w:pPr>
        <w:pStyle w:val="normal0"/>
        <w:jc w:val="both"/>
      </w:pPr>
      <w:r>
        <w:t xml:space="preserve">La expedición de estos lineamientos técnico-administrativos es al mismo tiempo un riesgo y una oportunidad. El IFT puede avalar las violaciones a los derechos humanos realizadas por el Congreso de la Unión al regular este tema en la Ley Federal de Telecomunicaciones y Radiodifusión (LFTR) o puede, dentro de su competencia, cumplir con sus obligaciones de respeto y garantía a los derechos establecidas en la Constitución, para dar la mayor protección a las personas. </w:t>
      </w:r>
    </w:p>
    <w:p w14:paraId="3EE8E24A" w14:textId="77777777" w:rsidR="005E0013" w:rsidRDefault="0089209A">
      <w:pPr>
        <w:pStyle w:val="normal0"/>
        <w:jc w:val="both"/>
      </w:pPr>
      <w:r>
        <w:t xml:space="preserve"> </w:t>
      </w:r>
    </w:p>
    <w:p w14:paraId="073E09FA" w14:textId="77777777" w:rsidR="005E0013" w:rsidRDefault="0089209A">
      <w:pPr>
        <w:pStyle w:val="normal0"/>
        <w:jc w:val="both"/>
      </w:pPr>
      <w:r>
        <w:t>Por ello y en aras de continuar un diálogo público y productivo, señalamos que:</w:t>
      </w:r>
    </w:p>
    <w:p w14:paraId="72116E2B" w14:textId="77777777" w:rsidR="005E0013" w:rsidRDefault="005E0013">
      <w:pPr>
        <w:pStyle w:val="normal0"/>
        <w:jc w:val="both"/>
      </w:pPr>
    </w:p>
    <w:p w14:paraId="21BC6A39" w14:textId="77777777" w:rsidR="005E0013" w:rsidRDefault="0089209A">
      <w:pPr>
        <w:pStyle w:val="normal0"/>
        <w:jc w:val="both"/>
      </w:pPr>
      <w:r>
        <w:t>1. La primera obligación del Instituto Federal de Telecomunicaciones, en atención al artículo 1o de la Constitución, es la de respetar, proteger, promover y garantizar los derechos humanos reconocidos en la Constitución y los tratados internacionales de los que México es parte, incluyendo los derechos a la privacidad y a la libertad de expresión. Al generar políticas públicas y lineamientos regulatorios, las autoridades deben plantear sus criterios a la luz de los derechos humanos, en cuyos principios sobresale que no toda medida útil para hacer cumplir una ley es legítima y válida para ser utilizada como función del Estado. La medida elegida debe ser idónea, necesaria y proporcional.</w:t>
      </w:r>
    </w:p>
    <w:p w14:paraId="5443D743" w14:textId="77777777" w:rsidR="005E0013" w:rsidRDefault="005E0013">
      <w:pPr>
        <w:pStyle w:val="normal0"/>
        <w:jc w:val="both"/>
      </w:pPr>
    </w:p>
    <w:p w14:paraId="49A5F4EA" w14:textId="77777777" w:rsidR="005E0013" w:rsidRDefault="0089209A">
      <w:pPr>
        <w:pStyle w:val="normal0"/>
        <w:jc w:val="both"/>
      </w:pPr>
      <w:r>
        <w:t xml:space="preserve">2. Las obligaciones de conservación indiscriminada de datos, como las que contempla el artículo 190 de la Ley Federal de Telecomunicaciones y Radiodifusión, han sido consideradas </w:t>
      </w:r>
      <w:r>
        <w:lastRenderedPageBreak/>
        <w:t>incompatibles con el derecho a la privacidad. Tanto el Tribunal de Justicia de la Unión Europea</w:t>
      </w:r>
      <w:r>
        <w:rPr>
          <w:vertAlign w:val="superscript"/>
        </w:rPr>
        <w:footnoteReference w:id="1"/>
      </w:r>
      <w:r>
        <w:t xml:space="preserve"> como las relatorías para la Libertad de Expresión de la Comisión Interamericana de Derechos Humanos</w:t>
      </w:r>
      <w:r>
        <w:rPr>
          <w:vertAlign w:val="superscript"/>
        </w:rPr>
        <w:footnoteReference w:id="2"/>
      </w:r>
      <w:r>
        <w:t xml:space="preserve"> y de la Organización de las Naciones Unidas</w:t>
      </w:r>
      <w:r>
        <w:rPr>
          <w:vertAlign w:val="superscript"/>
        </w:rPr>
        <w:footnoteReference w:id="3"/>
      </w:r>
      <w:r>
        <w:t xml:space="preserve"> coinciden en que esta medida es desproporcional e innecesaria para la protección de éste y otros derechos. </w:t>
      </w:r>
    </w:p>
    <w:p w14:paraId="7EB18B19" w14:textId="77777777" w:rsidR="005E0013" w:rsidRDefault="005E0013">
      <w:pPr>
        <w:pStyle w:val="normal0"/>
        <w:jc w:val="both"/>
      </w:pPr>
    </w:p>
    <w:p w14:paraId="7C3232F8" w14:textId="77777777" w:rsidR="005E0013" w:rsidRDefault="0089209A">
      <w:pPr>
        <w:pStyle w:val="normal0"/>
        <w:jc w:val="both"/>
      </w:pPr>
      <w:r>
        <w:t>3. En particular, debe reiterarse que los datos que identifican una comunicación (metadatos) como la identidad de los comunicantes, fecha, hora y duración de la comunicación, ubicación geográfica e incluso, reconocido de manera expresa por la Suprema Corte de Justicia de la Nación</w:t>
      </w:r>
      <w:r>
        <w:rPr>
          <w:vertAlign w:val="superscript"/>
        </w:rPr>
        <w:footnoteReference w:id="4"/>
      </w:r>
      <w:r>
        <w:t>, la dirección IP, al ser datos que pueden revelar aspectos detallados sobre una persona, son datos que se encuentran protegidos por el artículo 16 constitucional y por ende, para su conservación o acceso es necesaria autorización judicial federal. La conservación de direcciones IP no sólo es una medida desproporcionada, invasiva y restrictiva a la privacidad (test de proporcionalidad) sino que no es la mejor ni la más efectiva para lograr los supuestos fines que persigue (test de idoneidad), al existir amplias posibilidades de elusión y al ser inadecuada para la identificación del probable responsable de un delito.</w:t>
      </w:r>
    </w:p>
    <w:p w14:paraId="2CDA3BB9" w14:textId="77777777" w:rsidR="005E0013" w:rsidRDefault="005E0013">
      <w:pPr>
        <w:pStyle w:val="normal0"/>
        <w:jc w:val="both"/>
      </w:pPr>
    </w:p>
    <w:p w14:paraId="4B31E3C6" w14:textId="77777777" w:rsidR="005E0013" w:rsidRDefault="0089209A">
      <w:pPr>
        <w:pStyle w:val="normal0"/>
        <w:jc w:val="both"/>
      </w:pPr>
      <w:r>
        <w:t>4.-En cualquier caso, el IFT debe subsanar las deficiencias de la Ley Federal de Telecomunicaciones y Radiodifusión al establecer salvaguardas mínimas y necesarias para inhibir el abuso de las medidas vigilancia altamente invasivas y que, por su naturaleza, se llevan a cabo en secreto, como ha sido reconocido, por ejemplo, en la Resolución 68/167 de la Asamblea General de Naciones sobre el derecho a la privacidad en la era digital, la cual fue propuesta por México y otros seis países</w:t>
      </w:r>
      <w:r>
        <w:rPr>
          <w:vertAlign w:val="superscript"/>
        </w:rPr>
        <w:footnoteReference w:id="5"/>
      </w:r>
    </w:p>
    <w:p w14:paraId="53FC0C47" w14:textId="77777777" w:rsidR="005E0013" w:rsidRDefault="005E0013">
      <w:pPr>
        <w:pStyle w:val="normal0"/>
        <w:jc w:val="both"/>
      </w:pPr>
    </w:p>
    <w:p w14:paraId="076FE879" w14:textId="77777777" w:rsidR="005E0013" w:rsidRDefault="0089209A">
      <w:pPr>
        <w:pStyle w:val="normal0"/>
        <w:jc w:val="both"/>
      </w:pPr>
      <w:r>
        <w:t>5. En este sentido, los Lineamientos que emita el Instituto deben especificar las autoridades competentes para solicitar la colaboración de las concesionarias y autorizadas en materia de seguridad y justicia y establecer de manera inequívoca la necesidad de autorización judicial federal para la intervención de comunicaciones privadas, la localización geográfica en tiempo real de equipos de comunicación móvil y el acceso a datos conservados por las concesionarias y autorizadas.</w:t>
      </w:r>
    </w:p>
    <w:p w14:paraId="6B3613EA" w14:textId="77777777" w:rsidR="005E0013" w:rsidRDefault="005E0013">
      <w:pPr>
        <w:pStyle w:val="normal0"/>
        <w:jc w:val="both"/>
      </w:pPr>
    </w:p>
    <w:p w14:paraId="14A6ED6C" w14:textId="77777777" w:rsidR="005E0013" w:rsidRDefault="0089209A">
      <w:pPr>
        <w:pStyle w:val="normal0"/>
        <w:jc w:val="both"/>
      </w:pPr>
      <w:r>
        <w:t xml:space="preserve">6. Adicionalmente, los Lineamientos deben establecer obligaciones de transparencia estadística que permitan a la ciudadanía evaluar la efectividad y regularidad de la actuación de </w:t>
      </w:r>
      <w:r>
        <w:lastRenderedPageBreak/>
        <w:t>la autoridad cuando lleva a cabo medidas de vigilancia. Asimismo, debe garantizarse el derecho de notificación diferida a las usuarias afectadas por medidas de vigilancia, de manera que se encuentren en posibilidad de ejercer su derecho de acceso a la justicia.</w:t>
      </w:r>
    </w:p>
    <w:p w14:paraId="62EF13FC" w14:textId="77777777" w:rsidR="005E0013" w:rsidRDefault="005E0013">
      <w:pPr>
        <w:pStyle w:val="normal0"/>
        <w:jc w:val="both"/>
      </w:pPr>
    </w:p>
    <w:p w14:paraId="08DE9CE4" w14:textId="77777777" w:rsidR="005E0013" w:rsidRDefault="0089209A">
      <w:pPr>
        <w:pStyle w:val="normal0"/>
        <w:jc w:val="both"/>
      </w:pPr>
      <w:r>
        <w:t>Adicionalmente, resulta pertinente resaltar que el 23 de septiembre de 2014, organizaciones de la sociedad civil, activistas, periodistas y defensores de derechos humanos, promovimos un juicio de amparo en contra de los citados artículos 189 y 190 de la LFTR ante el poder judicial federal, el cual aún se encuenta pendiente de resolución por el Poder Judicial Federal.</w:t>
      </w:r>
    </w:p>
    <w:p w14:paraId="5F359158" w14:textId="77777777" w:rsidR="005E0013" w:rsidRDefault="0089209A">
      <w:pPr>
        <w:pStyle w:val="normal0"/>
        <w:jc w:val="both"/>
      </w:pPr>
      <w:r>
        <w:t xml:space="preserve"> </w:t>
      </w:r>
    </w:p>
    <w:p w14:paraId="2515D7DA" w14:textId="77777777" w:rsidR="005E0013" w:rsidRDefault="005E0013">
      <w:pPr>
        <w:pStyle w:val="normal0"/>
        <w:jc w:val="both"/>
      </w:pPr>
    </w:p>
    <w:p w14:paraId="52069BD6" w14:textId="77777777" w:rsidR="005E0013" w:rsidRDefault="0089209A">
      <w:pPr>
        <w:pStyle w:val="normal0"/>
        <w:jc w:val="both"/>
      </w:pPr>
      <w:r>
        <w:t>Igualmente, ponemos nuevamente a disposición del público y de los y las consejeras del IFT</w:t>
      </w:r>
      <w:r>
        <w:rPr>
          <w:vertAlign w:val="superscript"/>
        </w:rPr>
        <w:footnoteReference w:id="6"/>
      </w:r>
      <w:r>
        <w:t xml:space="preserve">, las recomendaciones hechas en noviembre pasado durante la consulta pública sobre el Anteproyecto de lineamientos de colaboración en materia de seguridad y Justicia, convocado por el Instituto. En este documento se propone una serie de medidas encaminadas dotar de las mayores protecciones a los derechos fundamentales dentro del ámbito de este ordenamiento, tales como  la notificación diferida a los que sean objeto de vigilancia (garantía adoptada en otros sistemas), así como medidas concretas de transparencia que permitan dar mayores instrumentos a los ciudadanos para vigilar y evaluar el uso de estas disposiciones. </w:t>
      </w:r>
    </w:p>
    <w:p w14:paraId="6295522F" w14:textId="77777777" w:rsidR="005E0013" w:rsidRDefault="0089209A">
      <w:pPr>
        <w:pStyle w:val="normal0"/>
        <w:jc w:val="both"/>
      </w:pPr>
      <w:r>
        <w:t xml:space="preserve"> </w:t>
      </w:r>
    </w:p>
    <w:p w14:paraId="157EAF11" w14:textId="77777777" w:rsidR="005E0013" w:rsidRDefault="0089209A">
      <w:pPr>
        <w:pStyle w:val="normal0"/>
        <w:jc w:val="both"/>
      </w:pPr>
      <w:r>
        <w:t xml:space="preserve"> </w:t>
      </w:r>
    </w:p>
    <w:p w14:paraId="380ED86C" w14:textId="77777777" w:rsidR="005E0013" w:rsidRDefault="005E0013">
      <w:pPr>
        <w:pStyle w:val="normal0"/>
        <w:jc w:val="both"/>
      </w:pPr>
    </w:p>
    <w:p w14:paraId="2C917862" w14:textId="77777777" w:rsidR="005E0013" w:rsidRDefault="0089209A">
      <w:pPr>
        <w:pStyle w:val="normal0"/>
        <w:jc w:val="both"/>
      </w:pPr>
      <w:r>
        <w:t xml:space="preserve"> </w:t>
      </w:r>
    </w:p>
    <w:p w14:paraId="63C41693" w14:textId="77777777" w:rsidR="005E0013" w:rsidRDefault="005E0013">
      <w:pPr>
        <w:pStyle w:val="normal0"/>
        <w:jc w:val="both"/>
      </w:pPr>
    </w:p>
    <w:p w14:paraId="74A2F079" w14:textId="77777777" w:rsidR="005E0013" w:rsidRDefault="005E0013">
      <w:pPr>
        <w:pStyle w:val="normal0"/>
        <w:jc w:val="both"/>
      </w:pPr>
    </w:p>
    <w:p w14:paraId="29F04174" w14:textId="77777777" w:rsidR="005E0013" w:rsidRDefault="005E0013">
      <w:pPr>
        <w:pStyle w:val="normal0"/>
        <w:jc w:val="both"/>
      </w:pPr>
    </w:p>
    <w:sectPr w:rsidR="005E001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FA509" w14:textId="77777777" w:rsidR="002A4142" w:rsidRDefault="0089209A">
      <w:pPr>
        <w:spacing w:line="240" w:lineRule="auto"/>
      </w:pPr>
      <w:r>
        <w:separator/>
      </w:r>
    </w:p>
  </w:endnote>
  <w:endnote w:type="continuationSeparator" w:id="0">
    <w:p w14:paraId="2F75DEF1" w14:textId="77777777" w:rsidR="002A4142" w:rsidRDefault="008920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BBD69" w14:textId="77777777" w:rsidR="002A4142" w:rsidRDefault="0089209A">
      <w:pPr>
        <w:spacing w:line="240" w:lineRule="auto"/>
      </w:pPr>
      <w:r>
        <w:separator/>
      </w:r>
    </w:p>
  </w:footnote>
  <w:footnote w:type="continuationSeparator" w:id="0">
    <w:p w14:paraId="2C600130" w14:textId="77777777" w:rsidR="002A4142" w:rsidRDefault="0089209A">
      <w:pPr>
        <w:spacing w:line="240" w:lineRule="auto"/>
      </w:pPr>
      <w:r>
        <w:continuationSeparator/>
      </w:r>
    </w:p>
  </w:footnote>
  <w:footnote w:id="1">
    <w:p w14:paraId="2F3637EB" w14:textId="77777777" w:rsidR="005E0013" w:rsidRDefault="0089209A">
      <w:pPr>
        <w:pStyle w:val="normal0"/>
        <w:spacing w:line="240" w:lineRule="auto"/>
      </w:pPr>
      <w:r>
        <w:rPr>
          <w:vertAlign w:val="superscript"/>
        </w:rPr>
        <w:footnoteRef/>
      </w:r>
      <w:r>
        <w:rPr>
          <w:sz w:val="20"/>
        </w:rPr>
        <w:t xml:space="preserve"> Tribunal de Justicia de la Unión Europea. Sentencia en los asuntos acumulados C-293/12 y C-594/12. Digital Rights Ireland y Seitlinger y otros. 8 de abril de 2014. Disponible en: http://bit.ly/1Ep2X2Y</w:t>
      </w:r>
    </w:p>
  </w:footnote>
  <w:footnote w:id="2">
    <w:p w14:paraId="4E0BF1C3" w14:textId="77777777" w:rsidR="005E0013" w:rsidRDefault="0089209A">
      <w:pPr>
        <w:pStyle w:val="normal0"/>
        <w:jc w:val="both"/>
      </w:pPr>
      <w:r>
        <w:rPr>
          <w:vertAlign w:val="superscript"/>
        </w:rPr>
        <w:footnoteRef/>
      </w:r>
      <w:r>
        <w:rPr>
          <w:sz w:val="20"/>
        </w:rPr>
        <w:t xml:space="preserve"> Informe del Relator Especial sobre el derecho a la libertad de opinión y expresión de la Organización de las Naciones Unidas. 17 de Abril de 2013. A/HRC/23/40</w:t>
      </w:r>
    </w:p>
  </w:footnote>
  <w:footnote w:id="3">
    <w:p w14:paraId="3B4692F1" w14:textId="77777777" w:rsidR="005E0013" w:rsidRDefault="0089209A">
      <w:pPr>
        <w:pStyle w:val="normal0"/>
        <w:spacing w:line="240" w:lineRule="auto"/>
      </w:pPr>
      <w:r>
        <w:rPr>
          <w:vertAlign w:val="superscript"/>
        </w:rPr>
        <w:footnoteRef/>
      </w:r>
      <w:r>
        <w:rPr>
          <w:sz w:val="20"/>
        </w:rPr>
        <w:t xml:space="preserve"> Organización de las Naciones Unidas. Asamblea General. Resolución aprobada por la Asamblea General el 18 de diciembre de 2013. 68/167. El derecho a la privacidad en la era digital. A/RES/68/167. 21 de enero de 2014.</w:t>
      </w:r>
    </w:p>
  </w:footnote>
  <w:footnote w:id="4">
    <w:p w14:paraId="1D7FFDDF" w14:textId="77777777" w:rsidR="005E0013" w:rsidRDefault="0089209A">
      <w:pPr>
        <w:pStyle w:val="normal0"/>
        <w:spacing w:line="240" w:lineRule="auto"/>
      </w:pPr>
      <w:r>
        <w:rPr>
          <w:vertAlign w:val="superscript"/>
        </w:rPr>
        <w:footnoteRef/>
      </w:r>
      <w:r>
        <w:rPr>
          <w:sz w:val="20"/>
        </w:rPr>
        <w:t xml:space="preserve"> Derecho a la inviolabilidad de las comunicaciones privadas. Su objeto de protección incluyen los datos que identifican la comunicación. 9a. Época; 1a.Sala; S.J.F. y su Gaceta; Libro XXXIV, Agosto 2011, Tomo 1; Pág. 221 1a. CLV/2011</w:t>
      </w:r>
    </w:p>
  </w:footnote>
  <w:footnote w:id="5">
    <w:p w14:paraId="523B1114" w14:textId="77777777" w:rsidR="005E0013" w:rsidRDefault="0089209A">
      <w:pPr>
        <w:pStyle w:val="normal0"/>
        <w:spacing w:line="240" w:lineRule="auto"/>
      </w:pPr>
      <w:r>
        <w:rPr>
          <w:vertAlign w:val="superscript"/>
        </w:rPr>
        <w:footnoteRef/>
      </w:r>
      <w:r>
        <w:rPr>
          <w:sz w:val="20"/>
        </w:rPr>
        <w:t>Organización de las Naciones Unidas. Asamblea General. Resolución aprobada por la Asamblea General el 18 de diciembre de 2013. 68/167. El derecho a la privacidad en la era digital. A/RES/68/167. 21 de enero de 2014.</w:t>
      </w:r>
    </w:p>
  </w:footnote>
  <w:footnote w:id="6">
    <w:p w14:paraId="3F0B0787" w14:textId="77777777" w:rsidR="005E0013" w:rsidRDefault="0089209A">
      <w:pPr>
        <w:pStyle w:val="normal0"/>
        <w:spacing w:line="240" w:lineRule="auto"/>
      </w:pPr>
      <w:r>
        <w:rPr>
          <w:vertAlign w:val="superscript"/>
        </w:rPr>
        <w:footnoteRef/>
      </w:r>
      <w:r>
        <w:rPr>
          <w:sz w:val="20"/>
        </w:rPr>
        <w:t xml:space="preserve"> Consulta pública del anteproyecto de lineamientos de colaboración en materia de seguridad y justicia. Red en Defensa de los Derechos Digitales, 20014. Disponible en: http://t.co/96MiH92Cit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E0013"/>
    <w:rsid w:val="002A4142"/>
    <w:rsid w:val="005E0013"/>
    <w:rsid w:val="006C4EF5"/>
    <w:rsid w:val="0089209A"/>
    <w:rsid w:val="009F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1465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s-MX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s-MX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1009</Words>
  <Characters>5552</Characters>
  <Application>Microsoft Macintosh Word</Application>
  <DocSecurity>0</DocSecurity>
  <Lines>46</Lines>
  <Paragraphs>13</Paragraphs>
  <ScaleCrop>false</ScaleCrop>
  <Company>R3D</Company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Comunicado IFT.docx</dc:title>
  <cp:lastModifiedBy>Carlos Brito</cp:lastModifiedBy>
  <cp:revision>4</cp:revision>
  <dcterms:created xsi:type="dcterms:W3CDTF">2015-01-27T19:40:00Z</dcterms:created>
  <dcterms:modified xsi:type="dcterms:W3CDTF">2015-01-27T23:30:00Z</dcterms:modified>
</cp:coreProperties>
</file>